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6 778руб.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1 937руб.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5 326руб.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4 357руб.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3 389руб.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1 452руб.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2 905руб.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4 357руб.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7 650руб.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1 452руб.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1 549руб.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3 389руб.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3 389руб.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7 262руб.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5 810руб.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1 937руб.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59066руб.</w:t>
            </w:r>
          </w:p>
        </w:tc>
        <w:tc>
          <w:p>
            <w:r>
              <w:t xml:space="preserve">95765руб.</w:t>
            </w:r>
          </w:p>
        </w:tc>
        <w:tc>
          <w:p>
            <w:r>
              <w:t xml:space="preserve">57614руб.</w:t>
            </w:r>
          </w:p>
        </w:tc>
        <w:tc>
          <w:p>
            <w:r>
              <w:t xml:space="preserve">57614руб.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2025-04-20T05:16:34+00:00</dcterms:created>
  <dcterms:modified xsi:type="dcterms:W3CDTF">2025-04-20T05:16:34+00:00</dcterms:modified>
</cp:coreProperties>
</file>